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3CC64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rPr>
          <w:rFonts w:ascii="FoundrySterling-ExtraBold" w:hAnsi="FoundrySterling-ExtraBold" w:cs="FoundrySterling-ExtraBold"/>
          <w:b/>
          <w:bCs/>
          <w:color w:val="000D26"/>
          <w:sz w:val="56"/>
          <w:szCs w:val="56"/>
          <w:lang w:val="en-US"/>
        </w:rPr>
      </w:pPr>
      <w:r w:rsidRPr="00403D39">
        <w:rPr>
          <w:rFonts w:ascii="FoundrySterling-ExtraBold" w:hAnsi="FoundrySterling-ExtraBold" w:cs="FoundrySterling-ExtraBold"/>
          <w:b/>
          <w:bCs/>
          <w:color w:val="000D26"/>
          <w:sz w:val="56"/>
          <w:szCs w:val="56"/>
          <w:lang w:val="en-US"/>
        </w:rPr>
        <w:t>Specifications text E-Board</w:t>
      </w:r>
    </w:p>
    <w:p w14:paraId="34D4CDAE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rPr>
          <w:rFonts w:ascii="FoundrySterling-Light" w:hAnsi="FoundrySterling-Light" w:cs="FoundrySterling-Light"/>
          <w:color w:val="00C0FF"/>
          <w:sz w:val="28"/>
          <w:szCs w:val="28"/>
          <w:lang w:val="en-US"/>
        </w:rPr>
      </w:pPr>
    </w:p>
    <w:p w14:paraId="62E34C46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rPr>
          <w:rFonts w:ascii="FoundrySterling-Light" w:hAnsi="FoundrySterling-Light" w:cs="FoundrySterling-Light"/>
          <w:color w:val="00C0FF"/>
          <w:sz w:val="28"/>
          <w:szCs w:val="28"/>
          <w:lang w:val="en-US"/>
        </w:rPr>
      </w:pPr>
      <w:r w:rsidRPr="00403D39">
        <w:rPr>
          <w:rFonts w:ascii="FoundrySterling-Light" w:hAnsi="FoundrySterling-Light" w:cs="FoundrySterling-Light"/>
          <w:color w:val="00C0FF"/>
          <w:sz w:val="28"/>
          <w:szCs w:val="28"/>
          <w:lang w:val="en-US"/>
        </w:rPr>
        <w:t>Measurement</w:t>
      </w:r>
    </w:p>
    <w:p w14:paraId="44F1FEE2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14:paraId="12CBFBB2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• Measuring unit: per m², all dimensions expressed in mm / cm / m. With outer cavity walls that are</w:t>
      </w:r>
    </w:p>
    <w:p w14:paraId="36839C1A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composed of two types of masonry of differing materials, the measurement can be divided up as</w:t>
      </w:r>
    </w:p>
    <w:p w14:paraId="72087360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necessary.</w:t>
      </w:r>
    </w:p>
    <w:p w14:paraId="493F1339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• Measurement code: to be performed net visible surface including edge, brick-on-edge coping and</w:t>
      </w:r>
    </w:p>
    <w:p w14:paraId="13D15A89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 xml:space="preserve">stretcher layers, sills, possible corner blocks, decorative layers in the brickwork, etc. All window and </w:t>
      </w:r>
      <w:proofErr w:type="spellStart"/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dooropenings</w:t>
      </w:r>
      <w:proofErr w:type="spellEnd"/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 xml:space="preserve"> are subtracted; however, slits for ventilation grills, letter box openings, etc. smaller than 0.2 m²are not subtracted.</w:t>
      </w:r>
    </w:p>
    <w:p w14:paraId="618AF1AA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• The reveals of the window openings and the bottom of the lintels are only included (net surface area)depending on the building method. The possible cavity is never included.</w:t>
      </w:r>
    </w:p>
    <w:p w14:paraId="2A65F3EE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• Type of the agreement: Lump-sum Quantity (LQ)</w:t>
      </w:r>
    </w:p>
    <w:p w14:paraId="244BBDE4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rPr>
          <w:rFonts w:ascii="FoundrySterling-Light" w:hAnsi="FoundrySterling-Light" w:cs="FoundrySterling-Light"/>
          <w:color w:val="00C0FF"/>
          <w:sz w:val="28"/>
          <w:szCs w:val="28"/>
          <w:lang w:val="en-US"/>
        </w:rPr>
      </w:pPr>
    </w:p>
    <w:p w14:paraId="08C091CC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rPr>
          <w:rFonts w:ascii="FoundrySterling-Light" w:hAnsi="FoundrySterling-Light" w:cs="FoundrySterling-Light"/>
          <w:color w:val="00C0FF"/>
          <w:sz w:val="16"/>
          <w:szCs w:val="16"/>
          <w:lang w:val="en-US"/>
        </w:rPr>
      </w:pPr>
      <w:r w:rsidRPr="00403D39">
        <w:rPr>
          <w:rFonts w:ascii="FoundrySterling-Light" w:hAnsi="FoundrySterling-Light" w:cs="FoundrySterling-Light"/>
          <w:color w:val="00C0FF"/>
          <w:sz w:val="28"/>
          <w:szCs w:val="28"/>
          <w:lang w:val="en-US"/>
        </w:rPr>
        <w:t xml:space="preserve">External facade insulation system </w:t>
      </w:r>
      <w:r w:rsidRPr="00403D39">
        <w:rPr>
          <w:rFonts w:ascii="FoundrySterling-Light" w:hAnsi="FoundrySterling-Light" w:cs="FoundrySterling-Light"/>
          <w:color w:val="00C0FF"/>
          <w:sz w:val="28"/>
          <w:szCs w:val="28"/>
          <w:lang w:val="en-US"/>
        </w:rPr>
        <w:tab/>
        <w:t>|LQ|m</w:t>
      </w:r>
      <w:r w:rsidRPr="00403D39">
        <w:rPr>
          <w:rFonts w:ascii="FoundrySterling-Light" w:hAnsi="FoundrySterling-Light" w:cs="FoundrySterling-Light"/>
          <w:color w:val="00C0FF"/>
          <w:sz w:val="16"/>
          <w:szCs w:val="16"/>
          <w:lang w:val="en-US"/>
        </w:rPr>
        <w:t>2</w:t>
      </w:r>
    </w:p>
    <w:p w14:paraId="5EA5FAE7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rPr>
          <w:rFonts w:ascii="FoundrySterling-Light" w:hAnsi="FoundrySterling-Light" w:cs="FoundrySterling-Light"/>
          <w:color w:val="FF4000"/>
          <w:sz w:val="24"/>
          <w:szCs w:val="24"/>
          <w:lang w:val="en-US"/>
        </w:rPr>
      </w:pPr>
    </w:p>
    <w:p w14:paraId="209747D0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rPr>
          <w:rFonts w:ascii="FoundrySterling-Light" w:hAnsi="FoundrySterling-Light" w:cs="FoundrySterling-Light"/>
          <w:color w:val="FF4000"/>
          <w:sz w:val="24"/>
          <w:szCs w:val="24"/>
          <w:lang w:val="en-US"/>
        </w:rPr>
      </w:pPr>
      <w:r w:rsidRPr="00403D39">
        <w:rPr>
          <w:rFonts w:ascii="FoundrySterling-Light" w:hAnsi="FoundrySterling-Light" w:cs="FoundrySterling-Light"/>
          <w:color w:val="FF4000"/>
          <w:sz w:val="24"/>
          <w:szCs w:val="24"/>
          <w:lang w:val="en-US"/>
        </w:rPr>
        <w:t>Material</w:t>
      </w:r>
    </w:p>
    <w:p w14:paraId="66AAAC82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rPr>
          <w:rFonts w:ascii="FoundrySterling-Demi" w:hAnsi="FoundrySterling-Demi" w:cs="FoundrySterling-Demi"/>
          <w:color w:val="000D26"/>
          <w:sz w:val="20"/>
          <w:szCs w:val="20"/>
          <w:lang w:val="en-US"/>
        </w:rPr>
      </w:pPr>
    </w:p>
    <w:p w14:paraId="3CA8EF0A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rPr>
          <w:rFonts w:ascii="FoundrySterling-Demi" w:hAnsi="FoundrySterling-Demi" w:cs="FoundrySterling-Demi"/>
          <w:b/>
          <w:bCs/>
          <w:color w:val="000D26"/>
          <w:sz w:val="20"/>
          <w:szCs w:val="20"/>
          <w:lang w:val="en-US"/>
        </w:rPr>
      </w:pPr>
      <w:r w:rsidRPr="00403D39">
        <w:rPr>
          <w:rFonts w:ascii="FoundrySterling-Demi" w:hAnsi="FoundrySterling-Demi" w:cs="FoundrySterling-Demi"/>
          <w:b/>
          <w:bCs/>
          <w:color w:val="000D26"/>
          <w:sz w:val="20"/>
          <w:szCs w:val="20"/>
          <w:lang w:val="en-US"/>
        </w:rPr>
        <w:t>Brick specifications</w:t>
      </w:r>
    </w:p>
    <w:p w14:paraId="37E7171E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 xml:space="preserve">• Type: hand form (HV) / </w:t>
      </w:r>
      <w:proofErr w:type="spellStart"/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vormbak</w:t>
      </w:r>
      <w:proofErr w:type="spellEnd"/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 xml:space="preserve"> (VB) / </w:t>
      </w:r>
      <w:proofErr w:type="spellStart"/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Waterstruck</w:t>
      </w:r>
      <w:proofErr w:type="spellEnd"/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 xml:space="preserve"> (WS)</w:t>
      </w:r>
    </w:p>
    <w:p w14:paraId="376EB47D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• Format:</w:t>
      </w:r>
    </w:p>
    <w:p w14:paraId="2D0EEA0A" w14:textId="77777777" w:rsidR="00F12C1C" w:rsidRPr="00403D39" w:rsidRDefault="00F12C1C" w:rsidP="0003270A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• Designation: WF / DF / M50 / M65</w:t>
      </w:r>
    </w:p>
    <w:p w14:paraId="3035582D" w14:textId="77777777" w:rsidR="00F12C1C" w:rsidRPr="00403D39" w:rsidRDefault="00F12C1C" w:rsidP="0003270A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• Dimensions in mm (l x w x h): 210 x 20 x 50 / 210 x 20 x 65 / 190 x 20 x 50 / 190 x 20 x 65</w:t>
      </w:r>
    </w:p>
    <w:p w14:paraId="09848853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• Bond: Flemish bond / quarter-bat bond / stack bond / irregular bond / …</w:t>
      </w:r>
    </w:p>
    <w:p w14:paraId="3C6E80B0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 xml:space="preserve">• Surface texture: smooth / barked / planed / sanded / </w:t>
      </w:r>
      <w:proofErr w:type="spellStart"/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unsanded</w:t>
      </w:r>
      <w:proofErr w:type="spellEnd"/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 xml:space="preserve"> / rough / ...</w:t>
      </w:r>
    </w:p>
    <w:p w14:paraId="764BC40A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 xml:space="preserve">• Appearance: </w:t>
      </w:r>
      <w:proofErr w:type="spellStart"/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unicoloured</w:t>
      </w:r>
      <w:proofErr w:type="spellEnd"/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 xml:space="preserve"> / multi </w:t>
      </w:r>
      <w:proofErr w:type="spellStart"/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coloured</w:t>
      </w:r>
      <w:proofErr w:type="spellEnd"/>
    </w:p>
    <w:p w14:paraId="53ACA73F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• Category: K</w:t>
      </w:r>
    </w:p>
    <w:p w14:paraId="21990038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 xml:space="preserve">• </w:t>
      </w:r>
      <w:proofErr w:type="spellStart"/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Colour</w:t>
      </w:r>
      <w:proofErr w:type="spellEnd"/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 xml:space="preserve"> shade: pink / light red / brownish red / dark red / ochre-yellow / grey / black / ... (approximate</w:t>
      </w:r>
    </w:p>
    <w:p w14:paraId="05AA2024" w14:textId="77777777" w:rsidR="00F12C1C" w:rsidRPr="00403D39" w:rsidRDefault="00F12C1C" w:rsidP="00986019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 xml:space="preserve">description). The </w:t>
      </w:r>
      <w:proofErr w:type="spellStart"/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colour</w:t>
      </w:r>
      <w:proofErr w:type="spellEnd"/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 xml:space="preserve"> is homogeneous in the mass.</w:t>
      </w:r>
    </w:p>
    <w:p w14:paraId="6A9FB69A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• Frost resistance according to NBN B 27-009: highly frost-resistant (++)</w:t>
      </w:r>
    </w:p>
    <w:p w14:paraId="0C2D34A0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• Average water absorption according to NBN B 24-203 (1973): maximum 15 / 12 / … %</w:t>
      </w:r>
    </w:p>
    <w:p w14:paraId="3D488936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rPr>
          <w:rFonts w:ascii="FoundrySterling-Demi" w:hAnsi="FoundrySterling-Demi" w:cs="FoundrySterling-Demi"/>
          <w:b/>
          <w:bCs/>
          <w:color w:val="000D26"/>
          <w:sz w:val="20"/>
          <w:szCs w:val="20"/>
          <w:lang w:val="en-US"/>
        </w:rPr>
      </w:pPr>
    </w:p>
    <w:p w14:paraId="22C4A11B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rPr>
          <w:rFonts w:ascii="FoundrySterling-Demi" w:hAnsi="FoundrySterling-Demi" w:cs="FoundrySterling-Demi"/>
          <w:b/>
          <w:bCs/>
          <w:color w:val="000D26"/>
          <w:sz w:val="20"/>
          <w:szCs w:val="20"/>
          <w:lang w:val="en-US"/>
        </w:rPr>
      </w:pPr>
      <w:r w:rsidRPr="00403D39">
        <w:rPr>
          <w:rFonts w:ascii="FoundrySterling-Demi" w:hAnsi="FoundrySterling-Demi" w:cs="FoundrySterling-Demi"/>
          <w:b/>
          <w:bCs/>
          <w:color w:val="000D26"/>
          <w:sz w:val="20"/>
          <w:szCs w:val="20"/>
          <w:lang w:val="en-US"/>
        </w:rPr>
        <w:t>Insulation</w:t>
      </w:r>
    </w:p>
    <w:p w14:paraId="6C653D08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• ECO-EPS</w:t>
      </w:r>
    </w:p>
    <w:p w14:paraId="02E34CE7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• Tongue and groove system insulation thickness &gt; 40 mm, half-lapped joint insulation thickness ≤ 40 mm</w:t>
      </w:r>
    </w:p>
    <w:p w14:paraId="6509EA18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 xml:space="preserve">• </w:t>
      </w:r>
      <w:proofErr w:type="spellStart"/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λD</w:t>
      </w:r>
      <w:proofErr w:type="spellEnd"/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-value: 0,032 W/</w:t>
      </w:r>
      <w:proofErr w:type="spellStart"/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mK</w:t>
      </w:r>
      <w:proofErr w:type="spellEnd"/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 xml:space="preserve"> (to EN12667)</w:t>
      </w:r>
    </w:p>
    <w:p w14:paraId="4866930E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• Fire-retardant: SE Quality</w:t>
      </w:r>
    </w:p>
    <w:p w14:paraId="222465FE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 xml:space="preserve">• </w:t>
      </w:r>
      <w:proofErr w:type="spellStart"/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Euroclass</w:t>
      </w:r>
      <w:proofErr w:type="spellEnd"/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 xml:space="preserve"> E, under the new European regulations (to NBN EN13501-1).</w:t>
      </w:r>
    </w:p>
    <w:p w14:paraId="696975F2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• Belgium class A1 under NBN S21 – 203</w:t>
      </w:r>
    </w:p>
    <w:p w14:paraId="0DDEB95B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• Netherlands class II under NEN 6065</w:t>
      </w:r>
    </w:p>
    <w:p w14:paraId="347995E0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• Germany class B1 under DIN 4102</w:t>
      </w:r>
    </w:p>
    <w:p w14:paraId="37778698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• Pressure stress ≥ 100 kPa up to ≥ 200 kPa (at 2% to 10% deformation EN826)</w:t>
      </w:r>
    </w:p>
    <w:p w14:paraId="7F735559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• Tensile strength ≥ 200 kPa (EN1607)</w:t>
      </w:r>
    </w:p>
    <w:p w14:paraId="069E3943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• Water absorption ≤ 3% (EN12087)</w:t>
      </w:r>
    </w:p>
    <w:p w14:paraId="7F07719D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 xml:space="preserve">• Water </w:t>
      </w:r>
      <w:proofErr w:type="spellStart"/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vapour</w:t>
      </w:r>
      <w:proofErr w:type="spellEnd"/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 xml:space="preserve"> diffusion μ 40-100</w:t>
      </w:r>
    </w:p>
    <w:p w14:paraId="5B9E8FAA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• Thickness from 40 mm to 300 mm (increasing per 20 mm)</w:t>
      </w:r>
    </w:p>
    <w:p w14:paraId="6CFA61DE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• Dimensions:</w:t>
      </w:r>
    </w:p>
    <w:p w14:paraId="5C897E2E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• for DF/M65 : 1230 x 532 mm (7 brick layers, layer size 76 mm)</w:t>
      </w:r>
    </w:p>
    <w:p w14:paraId="21BA805B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• for WF/M50: 1230 x 558 mm (9 brick layers, layer size 62 mm)</w:t>
      </w:r>
    </w:p>
    <w:p w14:paraId="0ADAEE24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</w:p>
    <w:p w14:paraId="0BEE8EB5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rPr>
          <w:rFonts w:ascii="FoundrySterling-Demi" w:hAnsi="FoundrySterling-Demi" w:cs="FoundrySterling-Demi"/>
          <w:b/>
          <w:bCs/>
          <w:color w:val="000D26"/>
          <w:sz w:val="20"/>
          <w:szCs w:val="20"/>
          <w:lang w:val="en-US"/>
        </w:rPr>
      </w:pPr>
    </w:p>
    <w:p w14:paraId="59E56EFF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rPr>
          <w:rFonts w:ascii="FoundrySterling-Demi" w:hAnsi="FoundrySterling-Demi" w:cs="FoundrySterling-Demi"/>
          <w:b/>
          <w:bCs/>
          <w:color w:val="000D26"/>
          <w:sz w:val="20"/>
          <w:szCs w:val="20"/>
          <w:lang w:val="en-US"/>
        </w:rPr>
      </w:pPr>
      <w:r w:rsidRPr="00403D39">
        <w:rPr>
          <w:rFonts w:ascii="FoundrySterling-Demi" w:hAnsi="FoundrySterling-Demi" w:cs="FoundrySterling-Demi"/>
          <w:b/>
          <w:bCs/>
          <w:color w:val="000D26"/>
          <w:sz w:val="20"/>
          <w:szCs w:val="20"/>
          <w:lang w:val="en-US"/>
        </w:rPr>
        <w:t>Other materials</w:t>
      </w:r>
    </w:p>
    <w:p w14:paraId="51E02426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Only materials allowed (approved) by the manufacturer for the external facade insulation system may be used.</w:t>
      </w:r>
    </w:p>
    <w:p w14:paraId="1ED794C8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rPr>
          <w:rFonts w:ascii="FoundrySterling-Light" w:hAnsi="FoundrySterling-Light" w:cs="FoundrySterling-Light"/>
          <w:color w:val="FF4000"/>
          <w:sz w:val="24"/>
          <w:szCs w:val="24"/>
          <w:lang w:val="en-US"/>
        </w:rPr>
      </w:pPr>
      <w:r w:rsidRPr="00403D39">
        <w:rPr>
          <w:rFonts w:ascii="FoundrySterling-Light" w:hAnsi="FoundrySterling-Light" w:cs="FoundrySterling-Light"/>
          <w:color w:val="FF4000"/>
          <w:sz w:val="24"/>
          <w:szCs w:val="24"/>
          <w:lang w:val="en-US"/>
        </w:rPr>
        <w:t>Execution</w:t>
      </w:r>
    </w:p>
    <w:p w14:paraId="4F73815D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rPr>
          <w:rFonts w:ascii="FoundrySterling-Light" w:hAnsi="FoundrySterling-Light" w:cs="FoundrySterling-Light"/>
          <w:color w:val="FF4000"/>
          <w:sz w:val="24"/>
          <w:szCs w:val="24"/>
          <w:lang w:val="en-US"/>
        </w:rPr>
      </w:pPr>
    </w:p>
    <w:p w14:paraId="1D36BC48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lastRenderedPageBreak/>
        <w:t>• The materials must be stored dry and dust-free.</w:t>
      </w:r>
    </w:p>
    <w:p w14:paraId="57E1D46C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• The contractor must follow the manufacturer’s processing instructions.</w:t>
      </w:r>
    </w:p>
    <w:p w14:paraId="0D9F0AE7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• The substrate must be sufficiently flat, in compliance with the mounting manual of the manufacturer, so</w:t>
      </w:r>
      <w:r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 xml:space="preserve"> </w:t>
      </w: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that the works can be performed impeccably and fulfill all guarantees.</w:t>
      </w:r>
    </w:p>
    <w:p w14:paraId="29720754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• The installation may only be performed with materials that form part of the system.</w:t>
      </w:r>
    </w:p>
    <w:p w14:paraId="168FD8F7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• The panels are mechanically fastened with the provided plugs, and additionally bonded with the provided mortar adhesive. The fastenings are distributed uniformly over the surface of the element. The number</w:t>
      </w:r>
      <w:r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 xml:space="preserve"> </w:t>
      </w: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of fastenings for standard elements depends on the height and the wind force (minimum of 9 fastenings/m²).</w:t>
      </w:r>
    </w:p>
    <w:p w14:paraId="27833F18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• The waterproofing between the insulation panels is assured by the tongue and groove system. At the</w:t>
      </w:r>
      <w:r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 xml:space="preserve"> </w:t>
      </w: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corners the joints are injected with the provided PUR foam for bonding and waterproofing.</w:t>
      </w:r>
    </w:p>
    <w:p w14:paraId="71183A82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color w:val="000D26"/>
          <w:sz w:val="20"/>
          <w:szCs w:val="20"/>
          <w:lang w:val="en-US"/>
        </w:rPr>
      </w:pPr>
    </w:p>
    <w:p w14:paraId="49896F4F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rPr>
          <w:rFonts w:ascii="FoundrySterling-Light" w:hAnsi="FoundrySterling-Light" w:cs="FoundrySterling-Light"/>
          <w:color w:val="FF4000"/>
          <w:sz w:val="24"/>
          <w:szCs w:val="24"/>
          <w:lang w:val="en-US"/>
        </w:rPr>
      </w:pPr>
      <w:r w:rsidRPr="00403D39">
        <w:rPr>
          <w:rFonts w:ascii="FoundrySterling-Light" w:hAnsi="FoundrySterling-Light" w:cs="FoundrySterling-Light"/>
          <w:color w:val="FF4000"/>
          <w:sz w:val="24"/>
          <w:szCs w:val="24"/>
          <w:lang w:val="en-US"/>
        </w:rPr>
        <w:t>Execution of the jointing</w:t>
      </w:r>
    </w:p>
    <w:p w14:paraId="387FFAB3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rPr>
          <w:rFonts w:ascii="FoundrySterling-Light" w:hAnsi="FoundrySterling-Light" w:cs="FoundrySterling-Light"/>
          <w:color w:val="FF4000"/>
          <w:sz w:val="24"/>
          <w:szCs w:val="24"/>
          <w:lang w:val="en-US"/>
        </w:rPr>
      </w:pPr>
    </w:p>
    <w:p w14:paraId="20C16611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• Jointing is performed in the traditional way with prefabricated or self-made joint mortar.</w:t>
      </w:r>
    </w:p>
    <w:p w14:paraId="36756721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• The masonry mortar belongs to category M2 (cement mortar) / M3 (bastard mortar) according to</w:t>
      </w:r>
    </w:p>
    <w:p w14:paraId="5102255E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NBN B 14-001 (1985), in conformity with the processing recommendations of the brick and mortar</w:t>
      </w:r>
    </w:p>
    <w:p w14:paraId="5A6072D2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manufacturer.</w:t>
      </w:r>
    </w:p>
    <w:p w14:paraId="4121BCCD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 xml:space="preserve">• Joint shade: choice from a minimum of three samples / </w:t>
      </w:r>
      <w:proofErr w:type="spellStart"/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tone</w:t>
      </w:r>
      <w:proofErr w:type="spellEnd"/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 xml:space="preserve"> on tone factory mortar / ...</w:t>
      </w:r>
    </w:p>
    <w:p w14:paraId="4654EE7F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 xml:space="preserve">• Joint type: flush joint / keyed flush joint / hollow joint / keyed hollow joint / </w:t>
      </w:r>
      <w:proofErr w:type="spellStart"/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bevelled</w:t>
      </w:r>
      <w:proofErr w:type="spellEnd"/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 xml:space="preserve"> shade joint / ...</w:t>
      </w:r>
    </w:p>
    <w:p w14:paraId="434E58CD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• Joint finishing: brushed joint / smooth finished / tapped-on joint with hard brush /...</w:t>
      </w:r>
    </w:p>
    <w:p w14:paraId="2FB18212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</w:p>
    <w:p w14:paraId="47D7BEF6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rPr>
          <w:rFonts w:ascii="FoundrySterling-Light" w:hAnsi="FoundrySterling-Light" w:cs="FoundrySterling-Light"/>
          <w:color w:val="FF4000"/>
          <w:sz w:val="24"/>
          <w:szCs w:val="24"/>
          <w:lang w:val="en-US"/>
        </w:rPr>
      </w:pPr>
      <w:r w:rsidRPr="00403D39">
        <w:rPr>
          <w:rFonts w:ascii="FoundrySterling-Light" w:hAnsi="FoundrySterling-Light" w:cs="FoundrySterling-Light"/>
          <w:color w:val="FF4000"/>
          <w:sz w:val="24"/>
          <w:szCs w:val="24"/>
          <w:lang w:val="en-US"/>
        </w:rPr>
        <w:t>Additional execution instructions</w:t>
      </w:r>
    </w:p>
    <w:p w14:paraId="3AC5B5B7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rPr>
          <w:rFonts w:ascii="FoundrySterling-Light" w:hAnsi="FoundrySterling-Light" w:cs="FoundrySterling-Light"/>
          <w:color w:val="FF4000"/>
          <w:sz w:val="24"/>
          <w:szCs w:val="24"/>
          <w:lang w:val="en-US"/>
        </w:rPr>
      </w:pPr>
    </w:p>
    <w:p w14:paraId="4DD8F8DC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color w:val="000D26"/>
          <w:sz w:val="20"/>
          <w:szCs w:val="20"/>
          <w:lang w:val="en-US"/>
        </w:rPr>
      </w:pPr>
      <w:r w:rsidRPr="00403D39">
        <w:rPr>
          <w:rFonts w:ascii="FoundrySterling-Book" w:hAnsi="FoundrySterling-Book" w:cs="FoundrySterling-Book"/>
          <w:color w:val="000D26"/>
          <w:sz w:val="20"/>
          <w:szCs w:val="20"/>
          <w:lang w:val="en-US"/>
        </w:rPr>
        <w:t>(delete what is not applicable)</w:t>
      </w:r>
    </w:p>
    <w:p w14:paraId="17CFDF6C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• Dilatation joints: minimum every 30 meters / in accordance with the already-existing dilatation joints</w:t>
      </w:r>
    </w:p>
    <w:p w14:paraId="1CBB015C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(renovation) / in accordance with the rules on dilatation joints for standard masonry / …</w:t>
      </w:r>
    </w:p>
    <w:p w14:paraId="4D2FF911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• Finishing of reveals in facade openings: corner slips / finishing profile / window profiles installed flat (no</w:t>
      </w:r>
      <w:r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 xml:space="preserve"> </w:t>
      </w: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lintel) / …</w:t>
      </w:r>
    </w:p>
    <w:p w14:paraId="4472E86D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 xml:space="preserve">• Lintel: continuous L-profile made of </w:t>
      </w:r>
      <w:proofErr w:type="spellStart"/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galvanised</w:t>
      </w:r>
      <w:proofErr w:type="spellEnd"/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 xml:space="preserve"> steel / lacquered steel / corner slips vertical / corner </w:t>
      </w:r>
      <w:proofErr w:type="spellStart"/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soleslips</w:t>
      </w:r>
      <w:proofErr w:type="spellEnd"/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 xml:space="preserve"> horizontal / window profiles installed flat (no lintel)</w:t>
      </w:r>
    </w:p>
    <w:p w14:paraId="074B82FB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 xml:space="preserve">• Finishing profiles lacquered in RAL </w:t>
      </w:r>
      <w:proofErr w:type="spellStart"/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colours</w:t>
      </w:r>
      <w:proofErr w:type="spellEnd"/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: anthracite (7016) / brown (8019) / white (9010)</w:t>
      </w:r>
    </w:p>
    <w:p w14:paraId="76EC8171" w14:textId="77777777" w:rsidR="00F12C1C" w:rsidRPr="00403D39" w:rsidRDefault="00F12C1C" w:rsidP="0054676C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</w:pPr>
      <w:r w:rsidRPr="00403D39">
        <w:rPr>
          <w:rFonts w:ascii="TimesNewRomanPSMT" w:hAnsi="TimesNewRomanPSMT" w:cs="TimesNewRomanPSMT"/>
          <w:color w:val="000000"/>
          <w:sz w:val="20"/>
          <w:szCs w:val="20"/>
          <w:lang w:val="en-US" w:eastAsia="nl-BE"/>
        </w:rPr>
        <w:t>• Renovation: Existing facades must be thoroughly inspected for stability. Renovation anchors are applied where necessary.</w:t>
      </w:r>
    </w:p>
    <w:sectPr w:rsidR="00F12C1C" w:rsidRPr="00403D39" w:rsidSect="00C10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Sterling-ExtraBold">
    <w:panose1 w:val="02000803000000000000"/>
    <w:charset w:val="00"/>
    <w:family w:val="modern"/>
    <w:notTrueType/>
    <w:pitch w:val="variable"/>
    <w:sig w:usb0="800000AF" w:usb1="40002048" w:usb2="00000000" w:usb3="00000000" w:csb0="00000001" w:csb1="00000000"/>
  </w:font>
  <w:font w:name="FoundrySterling-Light">
    <w:panose1 w:val="02000303000000000000"/>
    <w:charset w:val="00"/>
    <w:family w:val="modern"/>
    <w:notTrueType/>
    <w:pitch w:val="variable"/>
    <w:sig w:usb0="800000AF" w:usb1="40002048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undrySterlin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Sterling-Book">
    <w:panose1 w:val="02000503000000000000"/>
    <w:charset w:val="00"/>
    <w:family w:val="modern"/>
    <w:notTrueType/>
    <w:pitch w:val="variable"/>
    <w:sig w:usb0="800000AF" w:usb1="40002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6C"/>
    <w:rsid w:val="000009D5"/>
    <w:rsid w:val="0003270A"/>
    <w:rsid w:val="002B1140"/>
    <w:rsid w:val="004039E3"/>
    <w:rsid w:val="00403D39"/>
    <w:rsid w:val="00466937"/>
    <w:rsid w:val="0053362D"/>
    <w:rsid w:val="0054676C"/>
    <w:rsid w:val="006C3656"/>
    <w:rsid w:val="00985E74"/>
    <w:rsid w:val="00986019"/>
    <w:rsid w:val="00C10CEF"/>
    <w:rsid w:val="00CA7940"/>
    <w:rsid w:val="00E03E2B"/>
    <w:rsid w:val="00E272B1"/>
    <w:rsid w:val="00F12C1C"/>
    <w:rsid w:val="00F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E5017"/>
  <w15:docId w15:val="{E64EE96B-5B7B-452A-9193-302983B4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0CEF"/>
    <w:pPr>
      <w:spacing w:after="200" w:line="276" w:lineRule="auto"/>
    </w:pPr>
    <w:rPr>
      <w:rFonts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4046</Characters>
  <Application>Microsoft Office Word</Application>
  <DocSecurity>0</DocSecurity>
  <Lines>33</Lines>
  <Paragraphs>9</Paragraphs>
  <ScaleCrop>false</ScaleCrop>
  <Company>Vandersanden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Bellinkx Ann</dc:creator>
  <cp:keywords/>
  <dc:description/>
  <cp:lastModifiedBy>Ann Bellinkx</cp:lastModifiedBy>
  <cp:revision>2</cp:revision>
  <dcterms:created xsi:type="dcterms:W3CDTF">2020-07-10T09:03:00Z</dcterms:created>
  <dcterms:modified xsi:type="dcterms:W3CDTF">2020-07-10T09:03:00Z</dcterms:modified>
</cp:coreProperties>
</file>